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69B6E3" w14:textId="77777777" w:rsidR="008B1D20" w:rsidRDefault="00AA1401">
      <w:pPr>
        <w:rPr>
          <w:b/>
          <w:lang w:val="de-DE"/>
        </w:rPr>
      </w:pPr>
      <w:r>
        <w:rPr>
          <w:b/>
          <w:noProof/>
        </w:rPr>
        <w:drawing>
          <wp:inline distT="0" distB="0" distL="0" distR="0" wp14:anchorId="3D15A996" wp14:editId="0317ACD2">
            <wp:extent cx="5972175" cy="1095375"/>
            <wp:effectExtent l="0" t="0" r="9525" b="9525"/>
            <wp:docPr id="3" name="Grafik 3" descr="W:\IPD\DT\COMMUNICATIONS\Partners\Gore marketing Toolbox\03_banner_partner\03_S500_banner_728x134\S500_banner_728x134_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:\IPD\DT\COMMUNICATIONS\Partners\Gore marketing Toolbox\03_banner_partner\03_S500_banner_728x134\S500_banner_728x134_ES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9A0332" w14:textId="1B60E5BF" w:rsidR="008B1D20" w:rsidRPr="000D5A3D" w:rsidRDefault="007012D4">
      <w:pPr>
        <w:rPr>
          <w:lang w:val="es-ES"/>
        </w:rPr>
      </w:pPr>
      <w:r w:rsidRPr="000D5A3D">
        <w:rPr>
          <w:lang w:val="es-ES"/>
        </w:rPr>
        <w:t>Estimado cliente</w:t>
      </w:r>
      <w:r w:rsidR="008B1D20" w:rsidRPr="000D5A3D">
        <w:rPr>
          <w:lang w:val="es-ES"/>
        </w:rPr>
        <w:t>,</w:t>
      </w:r>
    </w:p>
    <w:p w14:paraId="4B03C606" w14:textId="77777777" w:rsidR="00F72B79" w:rsidRDefault="009F79E1">
      <w:pPr>
        <w:rPr>
          <w:lang w:val="es-ES"/>
        </w:rPr>
      </w:pPr>
      <w:r w:rsidRPr="000D5A3D">
        <w:rPr>
          <w:lang w:val="es-ES"/>
        </w:rPr>
        <w:t xml:space="preserve">Está buscando una junta que le </w:t>
      </w:r>
      <w:r w:rsidR="00AA1401" w:rsidRPr="000D5A3D">
        <w:rPr>
          <w:lang w:val="es-ES"/>
        </w:rPr>
        <w:t>proporciona una solución rentable e inmediata para las aplicaciones de sellado que exigen un rendimiento fiable y larga durabilidad</w:t>
      </w:r>
      <w:bookmarkStart w:id="0" w:name="_GoBack"/>
      <w:bookmarkEnd w:id="0"/>
      <w:r w:rsidR="004E6EDD" w:rsidRPr="000D5A3D">
        <w:rPr>
          <w:lang w:val="es-ES"/>
        </w:rPr>
        <w:t>?</w:t>
      </w:r>
    </w:p>
    <w:p w14:paraId="22814A0F" w14:textId="6AD0A254" w:rsidR="008B1D20" w:rsidRPr="000D5A3D" w:rsidRDefault="00F72B79">
      <w:pPr>
        <w:rPr>
          <w:lang w:val="es-ES"/>
        </w:rPr>
      </w:pPr>
      <w:hyperlink r:id="rId6" w:history="1">
        <w:r w:rsidR="00AA1401" w:rsidRPr="000D5A3D">
          <w:rPr>
            <w:rStyle w:val="Hyperlink"/>
            <w:lang w:val="es-ES"/>
          </w:rPr>
          <w:t>Cinta de Estanqueidad GORE® Serie 500</w:t>
        </w:r>
      </w:hyperlink>
      <w:r w:rsidR="0031564C" w:rsidRPr="000D5A3D">
        <w:rPr>
          <w:lang w:val="es-ES"/>
        </w:rPr>
        <w:t xml:space="preserve">, </w:t>
      </w:r>
      <w:r w:rsidR="00AA1401" w:rsidRPr="000D5A3D">
        <w:rPr>
          <w:lang w:val="es-ES"/>
        </w:rPr>
        <w:t xml:space="preserve">con una resistencia a la relajación líder en el sector, ha sido </w:t>
      </w:r>
      <w:r w:rsidR="009F79E1" w:rsidRPr="000D5A3D">
        <w:rPr>
          <w:lang w:val="es-ES"/>
        </w:rPr>
        <w:t>diseñad</w:t>
      </w:r>
      <w:r w:rsidR="009F79E1" w:rsidRPr="009F79E1">
        <w:rPr>
          <w:lang w:val="es-ES"/>
        </w:rPr>
        <w:t>a</w:t>
      </w:r>
      <w:r w:rsidR="009F79E1" w:rsidRPr="000D5A3D">
        <w:rPr>
          <w:lang w:val="es-ES"/>
        </w:rPr>
        <w:t xml:space="preserve"> para</w:t>
      </w:r>
      <w:r w:rsidR="009F79E1" w:rsidRPr="000D5A3D">
        <w:rPr>
          <w:lang w:val="es-ES"/>
        </w:rPr>
        <w:t xml:space="preserve"> </w:t>
      </w:r>
      <w:r w:rsidR="00AA1401" w:rsidRPr="000D5A3D">
        <w:rPr>
          <w:lang w:val="es-ES"/>
        </w:rPr>
        <w:t>maximizar la fiabilidad operativa en aplicaciones con bridas de acero de gran tamaño, especialmente en aquellas sometidas a ciclos térmicos.</w:t>
      </w:r>
      <w:r w:rsidR="0031564C" w:rsidRPr="000D5A3D">
        <w:rPr>
          <w:lang w:val="es-ES"/>
        </w:rPr>
        <w:t xml:space="preserve"> </w:t>
      </w:r>
    </w:p>
    <w:p w14:paraId="5502EBDA" w14:textId="23707C6D" w:rsidR="008B1D20" w:rsidRPr="000D5A3D" w:rsidRDefault="00AA1401" w:rsidP="00AA1401">
      <w:pPr>
        <w:pStyle w:val="Listenabsatz"/>
        <w:numPr>
          <w:ilvl w:val="0"/>
          <w:numId w:val="8"/>
        </w:numPr>
        <w:shd w:val="clear" w:color="auto" w:fill="FFFFFF"/>
        <w:rPr>
          <w:lang w:val="es-ES"/>
        </w:rPr>
      </w:pPr>
      <w:r w:rsidRPr="000D5A3D">
        <w:rPr>
          <w:lang w:val="es-ES"/>
        </w:rPr>
        <w:t>Aplicaciones típicas</w:t>
      </w:r>
      <w:r w:rsidR="008B1D20" w:rsidRPr="000D5A3D">
        <w:rPr>
          <w:lang w:val="es-ES"/>
        </w:rPr>
        <w:t xml:space="preserve">: </w:t>
      </w:r>
      <w:r w:rsidRPr="000D5A3D">
        <w:rPr>
          <w:lang w:val="es-ES"/>
        </w:rPr>
        <w:t>Bridas y bocas de hombre para depósitos y tanques, tuberías de gran diámetro, intercambiadores de calor, deflectores</w:t>
      </w:r>
      <w:r w:rsidR="0000678E" w:rsidRPr="000D5A3D">
        <w:rPr>
          <w:lang w:val="es-ES"/>
        </w:rPr>
        <w:t>.</w:t>
      </w:r>
    </w:p>
    <w:p w14:paraId="6C1EF232" w14:textId="72211C08" w:rsidR="00AA1401" w:rsidRPr="000D5A3D" w:rsidRDefault="009F79E1" w:rsidP="00AA1401">
      <w:pPr>
        <w:pStyle w:val="Listenabsatz"/>
        <w:numPr>
          <w:ilvl w:val="0"/>
          <w:numId w:val="8"/>
        </w:numPr>
        <w:shd w:val="clear" w:color="auto" w:fill="FFFFFF"/>
        <w:rPr>
          <w:lang w:val="es-ES"/>
        </w:rPr>
      </w:pPr>
      <w:r>
        <w:rPr>
          <w:lang w:val="es-ES"/>
        </w:rPr>
        <w:t>Fabricada</w:t>
      </w:r>
      <w:r w:rsidR="00AA1401" w:rsidRPr="000D5A3D">
        <w:rPr>
          <w:lang w:val="es-ES"/>
        </w:rPr>
        <w:t xml:space="preserve"> 100 % con ePTFE químicamente inerte, la Cinta de Estanqueidad GORE Serie 500 resiste los rigores de procesos químicos agresivos durante mucho tiempo.</w:t>
      </w:r>
    </w:p>
    <w:p w14:paraId="7A3E467F" w14:textId="77777777" w:rsidR="002145F3" w:rsidRPr="000D5A3D" w:rsidRDefault="00AA1401" w:rsidP="003716A4">
      <w:pPr>
        <w:pStyle w:val="Listenabsatz"/>
        <w:numPr>
          <w:ilvl w:val="0"/>
          <w:numId w:val="8"/>
        </w:numPr>
        <w:shd w:val="clear" w:color="auto" w:fill="FFFFFF"/>
        <w:rPr>
          <w:lang w:val="es-ES"/>
        </w:rPr>
      </w:pPr>
      <w:r w:rsidRPr="000D5A3D">
        <w:rPr>
          <w:lang w:val="es-ES"/>
        </w:rPr>
        <w:t>Forma y funcionalidad óptimas</w:t>
      </w:r>
      <w:r w:rsidR="002145F3" w:rsidRPr="000D5A3D">
        <w:rPr>
          <w:lang w:val="es-ES"/>
        </w:rPr>
        <w:t xml:space="preserve">: </w:t>
      </w:r>
      <w:r w:rsidRPr="000D5A3D">
        <w:rPr>
          <w:lang w:val="es-ES"/>
        </w:rPr>
        <w:t>altamente conformable, por lo que puede compensar importantes irregularidades de la brida.</w:t>
      </w:r>
      <w:r w:rsidR="002145F3" w:rsidRPr="000D5A3D">
        <w:rPr>
          <w:lang w:val="es-ES"/>
        </w:rPr>
        <w:t xml:space="preserve"> </w:t>
      </w:r>
      <w:r w:rsidR="003716A4" w:rsidRPr="000D5A3D">
        <w:rPr>
          <w:lang w:val="es-ES"/>
        </w:rPr>
        <w:t>El sellado resultante es muy estanco y duradero, lo que mejora la fiabilidad y la seguridad de todo el sistema.</w:t>
      </w:r>
    </w:p>
    <w:p w14:paraId="42236A5A" w14:textId="0B4CB5E8" w:rsidR="0031564C" w:rsidRPr="000D5A3D" w:rsidRDefault="003716A4" w:rsidP="003716A4">
      <w:pPr>
        <w:pStyle w:val="Listenabsatz"/>
        <w:numPr>
          <w:ilvl w:val="0"/>
          <w:numId w:val="8"/>
        </w:numPr>
        <w:shd w:val="clear" w:color="auto" w:fill="FFFFFF"/>
        <w:rPr>
          <w:lang w:val="es-ES"/>
        </w:rPr>
      </w:pPr>
      <w:r w:rsidRPr="000D5A3D">
        <w:rPr>
          <w:lang w:val="es-ES"/>
        </w:rPr>
        <w:t>Ahorro de tiempo, dinero y problemas</w:t>
      </w:r>
      <w:r w:rsidR="00111205" w:rsidRPr="000D5A3D">
        <w:rPr>
          <w:lang w:val="es-ES"/>
        </w:rPr>
        <w:t xml:space="preserve">: </w:t>
      </w:r>
      <w:r w:rsidRPr="000D5A3D">
        <w:rPr>
          <w:lang w:val="es-ES"/>
        </w:rPr>
        <w:t xml:space="preserve">Elimina los retrasos, los costes y las complejidades relacionadas con el diseño, la especificación, la adquisición, el envío, el almacenamiento y la instalación de las juntas tradicionales prefabricadas de </w:t>
      </w:r>
      <w:r w:rsidRPr="009F79E1">
        <w:rPr>
          <w:lang w:val="es-ES"/>
        </w:rPr>
        <w:t>una</w:t>
      </w:r>
      <w:r w:rsidRPr="000D5A3D">
        <w:rPr>
          <w:lang w:val="es-ES"/>
        </w:rPr>
        <w:t xml:space="preserve"> pieza.</w:t>
      </w:r>
      <w:r w:rsidR="0031564C" w:rsidRPr="000D5A3D">
        <w:rPr>
          <w:lang w:val="es-ES"/>
        </w:rPr>
        <w:t xml:space="preserve"> </w:t>
      </w:r>
    </w:p>
    <w:p w14:paraId="63B3CE0B" w14:textId="1BA51D24" w:rsidR="00951770" w:rsidRDefault="009F79E1" w:rsidP="00F910D1">
      <w:pPr>
        <w:shd w:val="clear" w:color="auto" w:fill="FFFFFF" w:themeFill="background1"/>
        <w:spacing w:after="0" w:line="240" w:lineRule="auto"/>
      </w:pPr>
      <w:r w:rsidRPr="009F79E1">
        <w:t>Conozca más sobre el producto en la web de Gore</w:t>
      </w:r>
      <w:r>
        <w:t>:</w:t>
      </w:r>
    </w:p>
    <w:p w14:paraId="03F4638D" w14:textId="4C841F35" w:rsidR="003716A4" w:rsidRPr="005E5EAA" w:rsidRDefault="009F79E1" w:rsidP="0017518C">
      <w:pPr>
        <w:pStyle w:val="Listenabsatz"/>
        <w:numPr>
          <w:ilvl w:val="0"/>
          <w:numId w:val="7"/>
        </w:numPr>
        <w:shd w:val="clear" w:color="auto" w:fill="FFFFFF" w:themeFill="background1"/>
        <w:spacing w:after="0" w:line="240" w:lineRule="auto"/>
        <w:rPr>
          <w:color w:val="0563C1" w:themeColor="hyperlink"/>
          <w:lang w:val="es-ES"/>
        </w:rPr>
      </w:pPr>
      <w:hyperlink r:id="rId7" w:history="1">
        <w:r w:rsidR="005E5EAA" w:rsidRPr="009F79E1">
          <w:rPr>
            <w:rStyle w:val="Hyperlink"/>
            <w:lang w:val="es-ES"/>
          </w:rPr>
          <w:t>Presentación de producto</w:t>
        </w:r>
      </w:hyperlink>
    </w:p>
    <w:p w14:paraId="519BCCBF" w14:textId="162E9FC7" w:rsidR="00F910D1" w:rsidRDefault="00F72B79" w:rsidP="003716A4">
      <w:pPr>
        <w:pStyle w:val="Listenabsatz"/>
        <w:numPr>
          <w:ilvl w:val="0"/>
          <w:numId w:val="7"/>
        </w:numPr>
        <w:shd w:val="clear" w:color="auto" w:fill="FFFFFF" w:themeFill="background1"/>
        <w:spacing w:after="0" w:line="240" w:lineRule="auto"/>
      </w:pPr>
      <w:hyperlink r:id="rId8" w:history="1">
        <w:r w:rsidR="003716A4" w:rsidRPr="003716A4">
          <w:rPr>
            <w:rStyle w:val="Hyperlink"/>
          </w:rPr>
          <w:t>Fichas técnicas</w:t>
        </w:r>
      </w:hyperlink>
      <w:r w:rsidR="005006CA">
        <w:rPr>
          <w:rStyle w:val="Hyperlink"/>
          <w:color w:val="auto"/>
          <w:u w:val="none"/>
        </w:rPr>
        <w:t xml:space="preserve"> (English)</w:t>
      </w:r>
    </w:p>
    <w:p w14:paraId="610AA1E3" w14:textId="0DA5C3CA" w:rsidR="00951770" w:rsidRPr="003716A4" w:rsidRDefault="003716A4" w:rsidP="005006CA">
      <w:pPr>
        <w:pStyle w:val="Listenabsatz"/>
        <w:numPr>
          <w:ilvl w:val="0"/>
          <w:numId w:val="7"/>
        </w:numPr>
        <w:shd w:val="clear" w:color="auto" w:fill="FFFFFF" w:themeFill="background1"/>
        <w:spacing w:after="0" w:line="240" w:lineRule="auto"/>
        <w:rPr>
          <w:rStyle w:val="Hyperlink"/>
        </w:rPr>
      </w:pPr>
      <w:r>
        <w:fldChar w:fldCharType="begin"/>
      </w:r>
      <w:r>
        <w:instrText xml:space="preserve"> HYPERLINK "https://www.youtube.com/playlist?list=PLgxJvBpoEopvjSeK96VdFG_6OrhMGSygX" </w:instrText>
      </w:r>
      <w:r>
        <w:fldChar w:fldCharType="separate"/>
      </w:r>
      <w:r w:rsidR="00951770" w:rsidRPr="003716A4">
        <w:rPr>
          <w:rStyle w:val="Hyperlink"/>
        </w:rPr>
        <w:t>V</w:t>
      </w:r>
      <w:r w:rsidR="005E5EAA">
        <w:rPr>
          <w:rStyle w:val="Hyperlink"/>
        </w:rPr>
        <w:t>í</w:t>
      </w:r>
      <w:r w:rsidR="00951770" w:rsidRPr="003716A4">
        <w:rPr>
          <w:rStyle w:val="Hyperlink"/>
        </w:rPr>
        <w:t xml:space="preserve">deos </w:t>
      </w:r>
    </w:p>
    <w:p w14:paraId="6FF16DE2" w14:textId="106C7D01" w:rsidR="00951770" w:rsidRPr="004E6EDD" w:rsidRDefault="003716A4" w:rsidP="003716A4">
      <w:pPr>
        <w:pStyle w:val="Listenabsatz"/>
        <w:numPr>
          <w:ilvl w:val="0"/>
          <w:numId w:val="7"/>
        </w:numPr>
        <w:shd w:val="clear" w:color="auto" w:fill="FFFFFF" w:themeFill="background1"/>
        <w:spacing w:after="0" w:line="240" w:lineRule="auto"/>
        <w:rPr>
          <w:rStyle w:val="Hyperlink"/>
          <w:color w:val="auto"/>
          <w:u w:val="none"/>
        </w:rPr>
      </w:pPr>
      <w:r>
        <w:fldChar w:fldCharType="end"/>
      </w:r>
      <w:hyperlink r:id="rId9" w:history="1">
        <w:r w:rsidRPr="003716A4">
          <w:rPr>
            <w:rStyle w:val="Hyperlink"/>
          </w:rPr>
          <w:t>Guías de instalación</w:t>
        </w:r>
      </w:hyperlink>
    </w:p>
    <w:p w14:paraId="1C1170F0" w14:textId="251C78AB" w:rsidR="004E6EDD" w:rsidRDefault="00F72B79" w:rsidP="003716A4">
      <w:pPr>
        <w:pStyle w:val="Listenabsatz"/>
        <w:numPr>
          <w:ilvl w:val="0"/>
          <w:numId w:val="7"/>
        </w:numPr>
        <w:shd w:val="clear" w:color="auto" w:fill="FFFFFF" w:themeFill="background1"/>
        <w:spacing w:after="0" w:line="240" w:lineRule="auto"/>
      </w:pPr>
      <w:hyperlink r:id="rId10" w:history="1">
        <w:r w:rsidR="003716A4" w:rsidRPr="003716A4">
          <w:rPr>
            <w:rStyle w:val="Hyperlink"/>
          </w:rPr>
          <w:t>Certificaciones</w:t>
        </w:r>
      </w:hyperlink>
      <w:r w:rsidR="005006CA">
        <w:rPr>
          <w:rStyle w:val="Hyperlink"/>
          <w:color w:val="auto"/>
          <w:u w:val="none"/>
        </w:rPr>
        <w:t xml:space="preserve"> (English)</w:t>
      </w:r>
    </w:p>
    <w:p w14:paraId="64266826" w14:textId="77777777" w:rsidR="00951770" w:rsidRDefault="00951770" w:rsidP="00951770">
      <w:pPr>
        <w:pStyle w:val="Listenabsatz"/>
        <w:shd w:val="clear" w:color="auto" w:fill="FFFFFF" w:themeFill="background1"/>
        <w:spacing w:after="0" w:line="240" w:lineRule="auto"/>
      </w:pPr>
    </w:p>
    <w:p w14:paraId="30766627" w14:textId="24781D50" w:rsidR="00951770" w:rsidRDefault="009F79E1" w:rsidP="00951770">
      <w:pPr>
        <w:shd w:val="clear" w:color="auto" w:fill="FFFFFF" w:themeFill="background1"/>
        <w:spacing w:after="0" w:line="240" w:lineRule="auto"/>
      </w:pPr>
      <w:r w:rsidRPr="005E5EAA">
        <w:rPr>
          <w:lang w:val="es-ES"/>
        </w:rPr>
        <w:t xml:space="preserve">Por favor, póngase en contacto con </w:t>
      </w:r>
      <w:r w:rsidR="00951770" w:rsidRPr="009F79E1">
        <w:rPr>
          <w:color w:val="FF0000"/>
        </w:rPr>
        <w:t xml:space="preserve">(contact name) </w:t>
      </w:r>
      <w:r w:rsidRPr="009F79E1">
        <w:rPr>
          <w:lang w:val="es-ES"/>
        </w:rPr>
        <w:t>en</w:t>
      </w:r>
      <w:r w:rsidR="00951770" w:rsidRPr="009F79E1">
        <w:t xml:space="preserve"> </w:t>
      </w:r>
      <w:r w:rsidR="00951770" w:rsidRPr="009F79E1">
        <w:rPr>
          <w:color w:val="FF0000"/>
        </w:rPr>
        <w:t>(contact phone number)</w:t>
      </w:r>
      <w:r w:rsidR="00951770" w:rsidRPr="009F79E1">
        <w:t xml:space="preserve"> </w:t>
      </w:r>
      <w:r w:rsidRPr="009F79E1">
        <w:rPr>
          <w:lang w:val="es-ES"/>
        </w:rPr>
        <w:t>o</w:t>
      </w:r>
      <w:r w:rsidR="00951770" w:rsidRPr="009F79E1">
        <w:t xml:space="preserve"> </w:t>
      </w:r>
      <w:r>
        <w:rPr>
          <w:color w:val="FF0000"/>
        </w:rPr>
        <w:t>(contact email)</w:t>
      </w:r>
      <w:r>
        <w:t xml:space="preserve"> </w:t>
      </w:r>
      <w:r w:rsidRPr="009F79E1">
        <w:t>si tiene una aplicación en la que le gustaría explorar el uso de esta junta de conformado in situ</w:t>
      </w:r>
      <w:r>
        <w:t>.</w:t>
      </w:r>
    </w:p>
    <w:p w14:paraId="4939B2AB" w14:textId="77777777" w:rsidR="00951770" w:rsidRDefault="00951770" w:rsidP="00951770">
      <w:pPr>
        <w:pStyle w:val="Listenabsatz"/>
        <w:shd w:val="clear" w:color="auto" w:fill="FFFFFF" w:themeFill="background1"/>
        <w:spacing w:after="0" w:line="240" w:lineRule="auto"/>
      </w:pPr>
    </w:p>
    <w:p w14:paraId="4588356B" w14:textId="77777777" w:rsidR="004B3EF3" w:rsidRPr="004B3EF3" w:rsidRDefault="003716A4" w:rsidP="004B3EF3">
      <w:pPr>
        <w:pStyle w:val="Textkrper"/>
        <w:spacing w:before="133"/>
        <w:ind w:left="-90" w:firstLine="90"/>
        <w:rPr>
          <w:rFonts w:asciiTheme="minorHAnsi" w:eastAsiaTheme="minorHAnsi" w:hAnsiTheme="minorHAnsi"/>
          <w:sz w:val="22"/>
          <w:szCs w:val="22"/>
        </w:rPr>
      </w:pPr>
      <w:r>
        <w:rPr>
          <w:rFonts w:asciiTheme="minorHAnsi" w:eastAsiaTheme="minorHAnsi" w:hAnsiTheme="minorHAnsi"/>
          <w:sz w:val="22"/>
          <w:szCs w:val="22"/>
        </w:rPr>
        <w:t>Atentamente,</w:t>
      </w:r>
    </w:p>
    <w:p w14:paraId="157627E9" w14:textId="77777777" w:rsidR="004B3EF3" w:rsidRPr="004B3EF3" w:rsidRDefault="004B3EF3" w:rsidP="004B3EF3">
      <w:pPr>
        <w:pStyle w:val="Textkrper"/>
        <w:spacing w:before="121"/>
        <w:ind w:left="-90" w:firstLine="90"/>
        <w:rPr>
          <w:rFonts w:asciiTheme="minorHAnsi" w:eastAsiaTheme="minorHAnsi" w:hAnsiTheme="minorHAnsi"/>
          <w:color w:val="FF0000"/>
          <w:sz w:val="22"/>
          <w:szCs w:val="22"/>
        </w:rPr>
      </w:pPr>
      <w:r>
        <w:rPr>
          <w:rFonts w:asciiTheme="minorHAnsi" w:eastAsiaTheme="minorHAnsi" w:hAnsiTheme="minorHAnsi"/>
          <w:color w:val="FF0000"/>
          <w:sz w:val="22"/>
          <w:szCs w:val="22"/>
        </w:rPr>
        <w:t>(</w:t>
      </w:r>
      <w:r w:rsidR="003716A4">
        <w:rPr>
          <w:rFonts w:asciiTheme="minorHAnsi" w:eastAsiaTheme="minorHAnsi" w:hAnsiTheme="minorHAnsi"/>
          <w:color w:val="FF0000"/>
          <w:sz w:val="22"/>
          <w:szCs w:val="22"/>
        </w:rPr>
        <w:t>contacto</w:t>
      </w:r>
      <w:r>
        <w:rPr>
          <w:rFonts w:asciiTheme="minorHAnsi" w:eastAsiaTheme="minorHAnsi" w:hAnsiTheme="minorHAnsi"/>
          <w:color w:val="FF0000"/>
          <w:sz w:val="22"/>
          <w:szCs w:val="22"/>
        </w:rPr>
        <w:t>)</w:t>
      </w:r>
    </w:p>
    <w:p w14:paraId="70E5C78B" w14:textId="77777777" w:rsidR="004B3EF3" w:rsidRDefault="004B3EF3" w:rsidP="004B3EF3">
      <w:pPr>
        <w:rPr>
          <w:color w:val="FF0000"/>
        </w:rPr>
      </w:pPr>
      <w:r>
        <w:rPr>
          <w:color w:val="FF0000"/>
        </w:rPr>
        <w:t>(</w:t>
      </w:r>
      <w:r w:rsidR="00567301">
        <w:rPr>
          <w:color w:val="FF0000"/>
        </w:rPr>
        <w:t>s</w:t>
      </w:r>
      <w:r w:rsidRPr="004B3EF3">
        <w:rPr>
          <w:color w:val="FF0000"/>
        </w:rPr>
        <w:t xml:space="preserve">ignature </w:t>
      </w:r>
      <w:r w:rsidR="00567301">
        <w:rPr>
          <w:color w:val="FF0000"/>
        </w:rPr>
        <w:t>contacto</w:t>
      </w:r>
      <w:r>
        <w:rPr>
          <w:color w:val="FF0000"/>
        </w:rPr>
        <w:t>)</w:t>
      </w:r>
    </w:p>
    <w:p w14:paraId="3A251EA6" w14:textId="1BFECE51" w:rsidR="00267E17" w:rsidRPr="006A3D29" w:rsidRDefault="009F79E1" w:rsidP="00F910D1">
      <w:r>
        <w:rPr>
          <w:noProof/>
        </w:rPr>
        <w:drawing>
          <wp:inline distT="0" distB="0" distL="0" distR="0" wp14:anchorId="07B4F8B9" wp14:editId="388D9F0C">
            <wp:extent cx="1945481" cy="1085850"/>
            <wp:effectExtent l="0" t="0" r="0" b="0"/>
            <wp:docPr id="1" name="Grafik 1" descr="W:\IPD\DT\COMMUNICATIONS\Logos\Logos Authorized Distributors\JPG\Gore-distributor-logo_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:\IPD\DT\COMMUNICATIONS\Logos\Logos Authorized Distributors\JPG\Gore-distributor-logo_E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0434" cy="1094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67E17" w:rsidRPr="006A3D29"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etaNormalLF-Roman">
    <w:panose1 w:val="020B0502030000020004"/>
    <w:charset w:val="00"/>
    <w:family w:val="swiss"/>
    <w:pitch w:val="variable"/>
    <w:sig w:usb0="80000027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CA6C57"/>
    <w:multiLevelType w:val="hybridMultilevel"/>
    <w:tmpl w:val="25629F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6D6B8B"/>
    <w:multiLevelType w:val="hybridMultilevel"/>
    <w:tmpl w:val="07361C90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98039C"/>
    <w:multiLevelType w:val="hybridMultilevel"/>
    <w:tmpl w:val="369C5780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265AE9"/>
    <w:multiLevelType w:val="hybridMultilevel"/>
    <w:tmpl w:val="AA922E6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2B399E"/>
    <w:multiLevelType w:val="hybridMultilevel"/>
    <w:tmpl w:val="0344823E"/>
    <w:lvl w:ilvl="0" w:tplc="A636E7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BA6A8E"/>
    <w:multiLevelType w:val="hybridMultilevel"/>
    <w:tmpl w:val="B0E83D70"/>
    <w:lvl w:ilvl="0" w:tplc="E864CF6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6142A5"/>
    <w:multiLevelType w:val="multilevel"/>
    <w:tmpl w:val="DA64F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F5E33BE"/>
    <w:multiLevelType w:val="hybridMultilevel"/>
    <w:tmpl w:val="E1925D20"/>
    <w:lvl w:ilvl="0" w:tplc="1F86BC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1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64C"/>
    <w:rsid w:val="0000678E"/>
    <w:rsid w:val="00062950"/>
    <w:rsid w:val="000771F8"/>
    <w:rsid w:val="000B5C4C"/>
    <w:rsid w:val="000C3306"/>
    <w:rsid w:val="000D5A3D"/>
    <w:rsid w:val="00111205"/>
    <w:rsid w:val="0017518C"/>
    <w:rsid w:val="002145F3"/>
    <w:rsid w:val="00237460"/>
    <w:rsid w:val="00267E17"/>
    <w:rsid w:val="002E1EB1"/>
    <w:rsid w:val="0031564C"/>
    <w:rsid w:val="003716A4"/>
    <w:rsid w:val="004B3EF3"/>
    <w:rsid w:val="004E6EDD"/>
    <w:rsid w:val="004F20EC"/>
    <w:rsid w:val="005006CA"/>
    <w:rsid w:val="00567301"/>
    <w:rsid w:val="005E5EAA"/>
    <w:rsid w:val="006131EC"/>
    <w:rsid w:val="006A3D29"/>
    <w:rsid w:val="007012D4"/>
    <w:rsid w:val="0072778F"/>
    <w:rsid w:val="008B1D20"/>
    <w:rsid w:val="008D497A"/>
    <w:rsid w:val="00951770"/>
    <w:rsid w:val="009D4587"/>
    <w:rsid w:val="009F79E1"/>
    <w:rsid w:val="00AA05AE"/>
    <w:rsid w:val="00AA1401"/>
    <w:rsid w:val="00B67D78"/>
    <w:rsid w:val="00D616DC"/>
    <w:rsid w:val="00DA58F8"/>
    <w:rsid w:val="00DB011A"/>
    <w:rsid w:val="00DE76C5"/>
    <w:rsid w:val="00EB31E0"/>
    <w:rsid w:val="00F72B79"/>
    <w:rsid w:val="00F91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86EC2"/>
  <w15:chartTrackingRefBased/>
  <w15:docId w15:val="{15DFF112-F4B0-49AC-A5FC-D7071A024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AA140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3">
    <w:name w:val="heading 3"/>
    <w:basedOn w:val="Standard"/>
    <w:link w:val="berschrift3Zchn"/>
    <w:uiPriority w:val="9"/>
    <w:qFormat/>
    <w:rsid w:val="00F910D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3156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910D1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pple-converted-space">
    <w:name w:val="apple-converted-space"/>
    <w:basedOn w:val="Absatz-Standardschriftart"/>
    <w:rsid w:val="00F910D1"/>
  </w:style>
  <w:style w:type="paragraph" w:styleId="Listenabsatz">
    <w:name w:val="List Paragraph"/>
    <w:basedOn w:val="Standard"/>
    <w:uiPriority w:val="34"/>
    <w:qFormat/>
    <w:rsid w:val="008B1D20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2145F3"/>
    <w:rPr>
      <w:color w:val="0563C1" w:themeColor="hyperlink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EB31E0"/>
    <w:rPr>
      <w:color w:val="954F72" w:themeColor="followed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B31E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B31E0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B31E0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B31E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B31E0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B31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B31E0"/>
    <w:rPr>
      <w:rFonts w:ascii="Segoe UI" w:hAnsi="Segoe UI" w:cs="Segoe UI"/>
      <w:sz w:val="18"/>
      <w:szCs w:val="18"/>
    </w:rPr>
  </w:style>
  <w:style w:type="paragraph" w:styleId="Textkrper">
    <w:name w:val="Body Text"/>
    <w:basedOn w:val="Standard"/>
    <w:link w:val="TextkrperZchn"/>
    <w:uiPriority w:val="1"/>
    <w:qFormat/>
    <w:rsid w:val="004B3EF3"/>
    <w:pPr>
      <w:widowControl w:val="0"/>
      <w:spacing w:after="0" w:line="240" w:lineRule="auto"/>
      <w:ind w:left="1205"/>
    </w:pPr>
    <w:rPr>
      <w:rFonts w:ascii="MetaNormalLF-Roman" w:eastAsia="MetaNormalLF-Roman" w:hAnsi="MetaNormalLF-Roman"/>
      <w:sz w:val="20"/>
      <w:szCs w:val="20"/>
    </w:rPr>
  </w:style>
  <w:style w:type="character" w:customStyle="1" w:styleId="TextkrperZchn">
    <w:name w:val="Textkörper Zchn"/>
    <w:basedOn w:val="Absatz-Standardschriftart"/>
    <w:link w:val="Textkrper"/>
    <w:uiPriority w:val="1"/>
    <w:rsid w:val="004B3EF3"/>
    <w:rPr>
      <w:rFonts w:ascii="MetaNormalLF-Roman" w:eastAsia="MetaNormalLF-Roman" w:hAnsi="MetaNormalLF-Roman"/>
      <w:sz w:val="20"/>
      <w:szCs w:val="2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A140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re.com/resources/data-sheet-gore%7F-gasket-tape-series-50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gore.com.es/productos/cinta-de-estanqueidad-gore-serie-50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re.com.es/productos/cinta-de-estanqueidad-gore-serie-500" TargetMode="External"/><Relationship Id="rId11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hyperlink" Target="https://www.gore.com.es/resources/search?f%5B%5D=product%3A226&amp;f%5B%5D=language%3Aen&amp;f%5B%5D=content_type%3A33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re.com.es/resources/instalacion-cinta-de-estanqueidad-gore-serie-500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329</Words>
  <Characters>1881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W.L. Gore &amp; Associates</Company>
  <LinksUpToDate>false</LinksUpToDate>
  <CharactersWithSpaces>2206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Schwab</dc:creator>
  <cp:keywords/>
  <dc:description/>
  <cp:lastModifiedBy>Veronika Schwab</cp:lastModifiedBy>
  <cp:revision>5</cp:revision>
  <cp:lastPrinted>2017-05-30T09:15:00Z</cp:lastPrinted>
  <dcterms:created xsi:type="dcterms:W3CDTF">2017-06-19T14:33:00Z</dcterms:created>
  <dcterms:modified xsi:type="dcterms:W3CDTF">2017-06-19T15:58:00Z</dcterms:modified>
</cp:coreProperties>
</file>