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77704" w14:textId="3D10BBC4" w:rsidR="008B1D20" w:rsidRDefault="00B07066">
      <w:pPr>
        <w:rPr>
          <w:b/>
          <w:lang w:val="de-DE"/>
        </w:rPr>
      </w:pPr>
      <w:r>
        <w:rPr>
          <w:b/>
          <w:noProof/>
        </w:rPr>
        <w:drawing>
          <wp:inline distT="0" distB="0" distL="0" distR="0" wp14:anchorId="351331CF" wp14:editId="66A75911">
            <wp:extent cx="5972175" cy="1095375"/>
            <wp:effectExtent l="0" t="0" r="9525" b="9525"/>
            <wp:docPr id="4" name="Grafik 4" descr="W:\IPD\DT\COMMUNICATIONS\Partners\Gore_marketing_Toolbox\03_banner_partner\07_joint_sealants_banner_728x134\banner_joint_sealants_728x134px_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IPD\DT\COMMUNICATIONS\Partners\Gore_marketing_Toolbox\03_banner_partner\07_joint_sealants_banner_728x134\banner_joint_sealants_728x134px_I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DD002" w14:textId="77777777" w:rsidR="008B1D20" w:rsidRPr="00686F87" w:rsidRDefault="00E164E1">
      <w:r w:rsidRPr="00686F87">
        <w:t>Caro cliente</w:t>
      </w:r>
      <w:r w:rsidR="008B1D20" w:rsidRPr="00686F87">
        <w:t>,</w:t>
      </w:r>
    </w:p>
    <w:p w14:paraId="591F79AE" w14:textId="77777777" w:rsidR="00F42B02" w:rsidRDefault="00F42B02" w:rsidP="000A5196">
      <w:pPr>
        <w:shd w:val="clear" w:color="auto" w:fill="FFFFFF"/>
      </w:pPr>
      <w:r w:rsidRPr="00F42B02">
        <w:t>Stai cercando una soluzione di tenuta comprovata nel tempo per flange in acciaio di grande diametro, forma rettangolare o irregolare e superfici disomogenee o danneggiate?</w:t>
      </w:r>
    </w:p>
    <w:p w14:paraId="6F58A20B" w14:textId="278BF60F" w:rsidR="000A5196" w:rsidRPr="00045E2E" w:rsidRDefault="00B07066" w:rsidP="000A5196">
      <w:pPr>
        <w:shd w:val="clear" w:color="auto" w:fill="FFFFFF"/>
        <w:rPr>
          <w:lang w:val="it-IT"/>
        </w:rPr>
      </w:pPr>
      <w:hyperlink r:id="rId6" w:history="1">
        <w:r w:rsidR="00A54870" w:rsidRPr="00A54870">
          <w:rPr>
            <w:rStyle w:val="Hyperlink"/>
            <w:lang w:val="it-IT"/>
          </w:rPr>
          <w:t>GORE J</w:t>
        </w:r>
        <w:r w:rsidR="00A54870" w:rsidRPr="00A54870">
          <w:rPr>
            <w:rStyle w:val="Hyperlink"/>
            <w:lang w:val="it-IT"/>
          </w:rPr>
          <w:t>o</w:t>
        </w:r>
        <w:r w:rsidR="00A54870" w:rsidRPr="00A54870">
          <w:rPr>
            <w:rStyle w:val="Hyperlink"/>
            <w:lang w:val="it-IT"/>
          </w:rPr>
          <w:t>int Sealant</w:t>
        </w:r>
      </w:hyperlink>
      <w:r w:rsidR="00A54870" w:rsidRPr="00A54870">
        <w:rPr>
          <w:lang w:val="it-IT"/>
        </w:rPr>
        <w:t xml:space="preserve"> è il materiale di tenuta standard utilizzato da molte squadre responsabili della manutenzione, riparazione e operatività in quanto sigilla in modo affidabile, è versatile, facile da installare e offre un buon rapporto qualità-prezzo.</w:t>
      </w:r>
    </w:p>
    <w:p w14:paraId="1F723650" w14:textId="7098519E" w:rsidR="008B1D20" w:rsidRPr="00045E2E" w:rsidRDefault="00E164E1" w:rsidP="00A54870">
      <w:pPr>
        <w:pStyle w:val="Listenabsatz"/>
        <w:numPr>
          <w:ilvl w:val="0"/>
          <w:numId w:val="8"/>
        </w:numPr>
        <w:shd w:val="clear" w:color="auto" w:fill="FFFFFF"/>
        <w:rPr>
          <w:lang w:val="it-IT"/>
        </w:rPr>
      </w:pPr>
      <w:r w:rsidRPr="00045E2E">
        <w:rPr>
          <w:lang w:val="it-IT"/>
        </w:rPr>
        <w:t>Applicazioni tipiche</w:t>
      </w:r>
      <w:r w:rsidR="008B1D20" w:rsidRPr="00045E2E">
        <w:rPr>
          <w:lang w:val="it-IT"/>
        </w:rPr>
        <w:t xml:space="preserve">: </w:t>
      </w:r>
      <w:r w:rsidR="00A54870" w:rsidRPr="00A54870">
        <w:rPr>
          <w:lang w:val="it-IT"/>
        </w:rPr>
        <w:t>passi d'uomo di serbatoi, condotte, coperture di alloggiamenti</w:t>
      </w:r>
    </w:p>
    <w:p w14:paraId="75E8489A" w14:textId="0CC579ED" w:rsidR="00A54870" w:rsidRDefault="00B07066" w:rsidP="00A54870">
      <w:pPr>
        <w:pStyle w:val="Listenabsatz"/>
        <w:numPr>
          <w:ilvl w:val="0"/>
          <w:numId w:val="8"/>
        </w:numPr>
        <w:shd w:val="clear" w:color="auto" w:fill="FFFFFF"/>
        <w:rPr>
          <w:lang w:val="it-IT"/>
        </w:rPr>
      </w:pPr>
      <w:r>
        <w:rPr>
          <w:lang w:val="it-IT"/>
        </w:rPr>
        <w:t>R</w:t>
      </w:r>
      <w:r w:rsidR="00A54870" w:rsidRPr="00A54870">
        <w:rPr>
          <w:lang w:val="it-IT"/>
        </w:rPr>
        <w:t>ealizzato in 100% in PTFE espanso (ePTFE) monodirezionale sfruttando una tecnologia di espansione proprietaria di Gore in grado di ottenere un elevato grado di fibrillazione.</w:t>
      </w:r>
    </w:p>
    <w:p w14:paraId="76D23969" w14:textId="77777777" w:rsidR="00A54870" w:rsidRDefault="00A54870" w:rsidP="00A54870">
      <w:pPr>
        <w:pStyle w:val="Listenabsatz"/>
        <w:numPr>
          <w:ilvl w:val="0"/>
          <w:numId w:val="8"/>
        </w:numPr>
        <w:shd w:val="clear" w:color="auto" w:fill="FFFFFF"/>
        <w:rPr>
          <w:lang w:val="it-IT"/>
        </w:rPr>
      </w:pPr>
      <w:r w:rsidRPr="00A54870">
        <w:rPr>
          <w:lang w:val="it-IT"/>
        </w:rPr>
        <w:t>L'elevata fibrillazione migliora la resistenza e le prestazioni di tenuta, e crea una superficie morbida e conformabile che si adatta istantaneamente alle piccole irregolarità della flangia.</w:t>
      </w:r>
    </w:p>
    <w:p w14:paraId="3D34995D" w14:textId="1BF2AC83" w:rsidR="00A54870" w:rsidRPr="00A54870" w:rsidRDefault="00A54870" w:rsidP="00A54870">
      <w:pPr>
        <w:pStyle w:val="Listenabsatz"/>
        <w:numPr>
          <w:ilvl w:val="0"/>
          <w:numId w:val="8"/>
        </w:numPr>
        <w:shd w:val="clear" w:color="auto" w:fill="FFFFFF"/>
        <w:rPr>
          <w:lang w:val="it-IT"/>
        </w:rPr>
      </w:pPr>
      <w:r w:rsidRPr="00A54870">
        <w:rPr>
          <w:lang w:val="it-IT"/>
        </w:rPr>
        <w:t>Semplicità e contenimento dei costi</w:t>
      </w:r>
      <w:r>
        <w:rPr>
          <w:lang w:val="it-IT"/>
        </w:rPr>
        <w:t xml:space="preserve">: </w:t>
      </w:r>
      <w:r w:rsidR="00686F87">
        <w:rPr>
          <w:lang w:val="it-IT"/>
        </w:rPr>
        <w:t>a</w:t>
      </w:r>
      <w:r w:rsidRPr="00A54870">
        <w:rPr>
          <w:lang w:val="it-IT"/>
        </w:rPr>
        <w:t>derisce prontamente alle superfici di tenuta e, al termine dell'applicazione, basta sovrapporre le due estremità per</w:t>
      </w:r>
      <w:r w:rsidR="00686F87">
        <w:rPr>
          <w:lang w:val="it-IT"/>
        </w:rPr>
        <w:t xml:space="preserve"> ottenere la guarnizione finita.</w:t>
      </w:r>
      <w:r w:rsidRPr="00A54870">
        <w:rPr>
          <w:lang w:val="it-IT"/>
        </w:rPr>
        <w:t xml:space="preserve"> </w:t>
      </w:r>
      <w:r w:rsidR="00686F87">
        <w:rPr>
          <w:lang w:val="it-IT"/>
        </w:rPr>
        <w:t>A</w:t>
      </w:r>
      <w:r w:rsidRPr="00A54870">
        <w:rPr>
          <w:lang w:val="it-IT"/>
        </w:rPr>
        <w:t>nche l’installazione su flange verticali diventa un compito realizzabile da un solo operatore.</w:t>
      </w:r>
      <w:r w:rsidRPr="00686F87">
        <w:rPr>
          <w:lang w:val="it-IT"/>
        </w:rPr>
        <w:t xml:space="preserve"> </w:t>
      </w:r>
      <w:r w:rsidRPr="00A54870">
        <w:rPr>
          <w:lang w:val="it-IT"/>
        </w:rPr>
        <w:t>La tenuta ermetica e duratura implica inoltre una riduzione effettiva della manutenzione. Con meno interruzioni e tempi morti, la produttività viene potenziata sotto tutti i punti di vista con conseguenti risparmi sui costi.</w:t>
      </w:r>
    </w:p>
    <w:p w14:paraId="24C69608" w14:textId="473E544B" w:rsidR="00951770" w:rsidRPr="00045E2E" w:rsidRDefault="00045E2E" w:rsidP="00F910D1">
      <w:pPr>
        <w:shd w:val="clear" w:color="auto" w:fill="FFFFFF" w:themeFill="background1"/>
        <w:spacing w:after="0" w:line="240" w:lineRule="auto"/>
        <w:rPr>
          <w:lang w:val="it-IT"/>
        </w:rPr>
      </w:pPr>
      <w:r w:rsidRPr="00045E2E">
        <w:rPr>
          <w:lang w:val="it-IT"/>
        </w:rPr>
        <w:t>Per saperne di più su questo prodotto, visita</w:t>
      </w:r>
      <w:r>
        <w:rPr>
          <w:lang w:val="it-IT"/>
        </w:rPr>
        <w:t xml:space="preserve"> </w:t>
      </w:r>
      <w:r w:rsidRPr="00045E2E">
        <w:rPr>
          <w:lang w:val="it-IT"/>
        </w:rPr>
        <w:t xml:space="preserve">il </w:t>
      </w:r>
      <w:r w:rsidR="00493758">
        <w:rPr>
          <w:lang w:val="it-IT"/>
        </w:rPr>
        <w:t>sito Gore</w:t>
      </w:r>
      <w:r w:rsidR="00951770" w:rsidRPr="00045E2E">
        <w:rPr>
          <w:lang w:val="it-IT"/>
        </w:rPr>
        <w:t>:</w:t>
      </w:r>
    </w:p>
    <w:p w14:paraId="71767A7C" w14:textId="42C28619" w:rsidR="002F37CD" w:rsidRPr="002F37CD" w:rsidRDefault="00B07066" w:rsidP="00AC683B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Style w:val="Hyperlink"/>
          <w:u w:val="none"/>
        </w:rPr>
      </w:pPr>
      <w:hyperlink r:id="rId7" w:history="1">
        <w:r w:rsidR="002F37CD" w:rsidRPr="002F37CD">
          <w:rPr>
            <w:rStyle w:val="Hyperlink"/>
          </w:rPr>
          <w:t>Panoramica del Prodotto</w:t>
        </w:r>
      </w:hyperlink>
    </w:p>
    <w:p w14:paraId="3627BDA4" w14:textId="6D0D0C34" w:rsidR="00F910D1" w:rsidRDefault="00B07066" w:rsidP="0017518C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</w:pPr>
      <w:hyperlink r:id="rId8" w:history="1">
        <w:r w:rsidR="002F37CD" w:rsidRPr="00DF627F">
          <w:rPr>
            <w:rStyle w:val="Hyperlink"/>
          </w:rPr>
          <w:t>S</w:t>
        </w:r>
        <w:r w:rsidR="00DF627F" w:rsidRPr="00DF627F">
          <w:rPr>
            <w:rStyle w:val="Hyperlink"/>
          </w:rPr>
          <w:t>c</w:t>
        </w:r>
        <w:r w:rsidR="002F37CD" w:rsidRPr="00DF627F">
          <w:rPr>
            <w:rStyle w:val="Hyperlink"/>
          </w:rPr>
          <w:t>hede te</w:t>
        </w:r>
        <w:r w:rsidR="002F37CD" w:rsidRPr="00DF627F">
          <w:rPr>
            <w:rStyle w:val="Hyperlink"/>
          </w:rPr>
          <w:t>c</w:t>
        </w:r>
        <w:r w:rsidR="002F37CD" w:rsidRPr="00DF627F">
          <w:rPr>
            <w:rStyle w:val="Hyperlink"/>
          </w:rPr>
          <w:t>niche</w:t>
        </w:r>
      </w:hyperlink>
      <w:r w:rsidR="00DF627F">
        <w:t xml:space="preserve"> (English)</w:t>
      </w:r>
      <w:hyperlink r:id="rId9" w:history="1"/>
    </w:p>
    <w:p w14:paraId="633E4873" w14:textId="109098CB" w:rsidR="00951770" w:rsidRPr="00DF627F" w:rsidRDefault="00DF627F" w:rsidP="0017518C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Style w:val="Hyperlink"/>
        </w:rPr>
      </w:pPr>
      <w:r>
        <w:fldChar w:fldCharType="begin"/>
      </w:r>
      <w:r w:rsidR="00A54870">
        <w:instrText>HYPERLINK "https://www.gore.it/node/4676"</w:instrText>
      </w:r>
      <w:r>
        <w:fldChar w:fldCharType="separate"/>
      </w:r>
      <w:r w:rsidR="002F37CD" w:rsidRPr="00DF627F">
        <w:rPr>
          <w:rStyle w:val="Hyperlink"/>
        </w:rPr>
        <w:t>Guida a</w:t>
      </w:r>
      <w:r w:rsidR="002F37CD" w:rsidRPr="00DF627F">
        <w:rPr>
          <w:rStyle w:val="Hyperlink"/>
        </w:rPr>
        <w:t>l</w:t>
      </w:r>
      <w:r w:rsidR="002F37CD" w:rsidRPr="00DF627F">
        <w:rPr>
          <w:rStyle w:val="Hyperlink"/>
        </w:rPr>
        <w:t>l’Installazione</w:t>
      </w:r>
    </w:p>
    <w:p w14:paraId="676E4555" w14:textId="36B456F2" w:rsidR="004E6EDD" w:rsidRDefault="00DF627F" w:rsidP="0017518C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</w:pPr>
      <w:r>
        <w:fldChar w:fldCharType="end"/>
      </w:r>
      <w:hyperlink r:id="rId10" w:history="1">
        <w:r w:rsidR="002F37CD" w:rsidRPr="00DF627F">
          <w:rPr>
            <w:rStyle w:val="Hyperlink"/>
          </w:rPr>
          <w:t>Cert</w:t>
        </w:r>
        <w:bookmarkStart w:id="0" w:name="_GoBack"/>
        <w:bookmarkEnd w:id="0"/>
        <w:r w:rsidR="002F37CD" w:rsidRPr="00DF627F">
          <w:rPr>
            <w:rStyle w:val="Hyperlink"/>
          </w:rPr>
          <w:t>i</w:t>
        </w:r>
        <w:r w:rsidR="002F37CD" w:rsidRPr="00DF627F">
          <w:rPr>
            <w:rStyle w:val="Hyperlink"/>
          </w:rPr>
          <w:t>ficazioni</w:t>
        </w:r>
      </w:hyperlink>
      <w:r>
        <w:t xml:space="preserve"> (English)</w:t>
      </w:r>
      <w:hyperlink r:id="rId11" w:history="1"/>
    </w:p>
    <w:p w14:paraId="0C66BAC1" w14:textId="77777777" w:rsidR="00951770" w:rsidRDefault="00951770" w:rsidP="00951770">
      <w:pPr>
        <w:pStyle w:val="Listenabsatz"/>
        <w:shd w:val="clear" w:color="auto" w:fill="FFFFFF" w:themeFill="background1"/>
        <w:spacing w:after="0" w:line="240" w:lineRule="auto"/>
      </w:pPr>
    </w:p>
    <w:p w14:paraId="00662493" w14:textId="3AEF5036" w:rsidR="00951770" w:rsidRDefault="00493758" w:rsidP="00493758">
      <w:pPr>
        <w:shd w:val="clear" w:color="auto" w:fill="FFFFFF" w:themeFill="background1"/>
        <w:spacing w:after="0" w:line="240" w:lineRule="auto"/>
        <w:rPr>
          <w:color w:val="FF0000"/>
          <w:lang w:val="it-IT"/>
        </w:rPr>
      </w:pPr>
      <w:r w:rsidRPr="003F19F6">
        <w:rPr>
          <w:lang w:val="it-IT"/>
        </w:rPr>
        <w:t>Se hai un’applicazione nella quale vorr</w:t>
      </w:r>
      <w:r w:rsidR="00CE4C88">
        <w:rPr>
          <w:lang w:val="it-IT"/>
        </w:rPr>
        <w:t>esti provare questa guarnizione</w:t>
      </w:r>
      <w:r w:rsidRPr="003F19F6">
        <w:rPr>
          <w:lang w:val="it-IT"/>
        </w:rPr>
        <w:t xml:space="preserve">, </w:t>
      </w:r>
      <w:r w:rsidR="00CE4C88">
        <w:rPr>
          <w:lang w:val="it-IT"/>
        </w:rPr>
        <w:t xml:space="preserve">non esitare a contattare </w:t>
      </w:r>
      <w:r w:rsidR="00951770" w:rsidRPr="003F19F6">
        <w:rPr>
          <w:color w:val="FF0000"/>
          <w:lang w:val="it-IT"/>
        </w:rPr>
        <w:t>(contact name)</w:t>
      </w:r>
      <w:r w:rsidR="00951770" w:rsidRPr="00A54870">
        <w:rPr>
          <w:lang w:val="it-IT"/>
        </w:rPr>
        <w:t xml:space="preserve"> </w:t>
      </w:r>
      <w:r w:rsidR="00A54870" w:rsidRPr="00A54870">
        <w:rPr>
          <w:lang w:val="it-IT"/>
        </w:rPr>
        <w:t>al</w:t>
      </w:r>
      <w:r w:rsidR="00951770" w:rsidRPr="00A54870">
        <w:rPr>
          <w:lang w:val="it-IT"/>
        </w:rPr>
        <w:t xml:space="preserve"> </w:t>
      </w:r>
      <w:r w:rsidR="00951770" w:rsidRPr="003F19F6">
        <w:rPr>
          <w:color w:val="FF0000"/>
          <w:lang w:val="it-IT"/>
        </w:rPr>
        <w:t>(contact phone number)</w:t>
      </w:r>
      <w:r w:rsidR="00951770" w:rsidRPr="003F19F6">
        <w:rPr>
          <w:lang w:val="it-IT"/>
        </w:rPr>
        <w:t xml:space="preserve"> </w:t>
      </w:r>
      <w:r w:rsidRPr="003F19F6">
        <w:rPr>
          <w:lang w:val="it-IT"/>
        </w:rPr>
        <w:t xml:space="preserve">o </w:t>
      </w:r>
      <w:r w:rsidR="00A54870">
        <w:rPr>
          <w:color w:val="FF0000"/>
          <w:lang w:val="it-IT"/>
        </w:rPr>
        <w:t>(contact email)</w:t>
      </w:r>
      <w:r w:rsidR="00A54870" w:rsidRPr="00B739A5">
        <w:rPr>
          <w:lang w:val="it-IT"/>
        </w:rPr>
        <w:t>.</w:t>
      </w:r>
    </w:p>
    <w:p w14:paraId="11395FE8" w14:textId="77777777" w:rsidR="00A54870" w:rsidRPr="003F19F6" w:rsidRDefault="00A54870" w:rsidP="00493758">
      <w:pPr>
        <w:shd w:val="clear" w:color="auto" w:fill="FFFFFF" w:themeFill="background1"/>
        <w:spacing w:after="0" w:line="240" w:lineRule="auto"/>
        <w:rPr>
          <w:lang w:val="it-IT"/>
        </w:rPr>
      </w:pPr>
    </w:p>
    <w:p w14:paraId="244AD71A" w14:textId="77777777" w:rsidR="00A54870" w:rsidRDefault="00DF627F" w:rsidP="00A54870">
      <w:pPr>
        <w:pStyle w:val="Textkrper"/>
        <w:spacing w:before="133"/>
        <w:ind w:left="-90" w:firstLine="90"/>
        <w:rPr>
          <w:rFonts w:asciiTheme="minorHAnsi" w:eastAsiaTheme="minorHAnsi" w:hAnsiTheme="minorHAnsi"/>
          <w:sz w:val="22"/>
          <w:szCs w:val="22"/>
          <w:lang w:val="it-IT"/>
        </w:rPr>
      </w:pPr>
      <w:r w:rsidRPr="00045E2E">
        <w:rPr>
          <w:rFonts w:asciiTheme="minorHAnsi" w:hAnsiTheme="minorHAnsi"/>
          <w:sz w:val="22"/>
          <w:szCs w:val="22"/>
          <w:lang w:val="it-IT"/>
        </w:rPr>
        <w:t>Cordiali saluti</w:t>
      </w:r>
      <w:r w:rsidR="00A54870">
        <w:rPr>
          <w:rFonts w:asciiTheme="minorHAnsi" w:eastAsiaTheme="minorHAnsi" w:hAnsiTheme="minorHAnsi"/>
          <w:sz w:val="22"/>
          <w:szCs w:val="22"/>
          <w:lang w:val="it-IT"/>
        </w:rPr>
        <w:t>,</w:t>
      </w:r>
    </w:p>
    <w:p w14:paraId="3433F3A5" w14:textId="662AC0F5" w:rsidR="004B3EF3" w:rsidRPr="00045E2E" w:rsidRDefault="004B3EF3" w:rsidP="00A54870">
      <w:pPr>
        <w:pStyle w:val="Textkrper"/>
        <w:spacing w:before="133"/>
        <w:ind w:left="-90" w:firstLine="90"/>
        <w:rPr>
          <w:rFonts w:asciiTheme="minorHAnsi" w:eastAsiaTheme="minorHAnsi" w:hAnsiTheme="minorHAnsi"/>
          <w:color w:val="FF0000"/>
          <w:sz w:val="22"/>
          <w:szCs w:val="22"/>
          <w:lang w:val="it-IT"/>
        </w:rPr>
      </w:pPr>
      <w:r w:rsidRPr="00045E2E">
        <w:rPr>
          <w:rFonts w:asciiTheme="minorHAnsi" w:eastAsiaTheme="minorHAnsi" w:hAnsiTheme="minorHAnsi"/>
          <w:color w:val="FF0000"/>
          <w:sz w:val="22"/>
          <w:szCs w:val="22"/>
          <w:lang w:val="it-IT"/>
        </w:rPr>
        <w:t>(Distributor Name)</w:t>
      </w:r>
    </w:p>
    <w:p w14:paraId="4816CAF8" w14:textId="77777777" w:rsidR="004B3EF3" w:rsidRPr="00045E2E" w:rsidRDefault="004B3EF3" w:rsidP="004B3EF3">
      <w:pPr>
        <w:rPr>
          <w:color w:val="FF0000"/>
          <w:lang w:val="it-IT"/>
        </w:rPr>
      </w:pPr>
      <w:r w:rsidRPr="00045E2E">
        <w:rPr>
          <w:color w:val="FF0000"/>
          <w:lang w:val="it-IT"/>
        </w:rPr>
        <w:t>(Signature Distributor)</w:t>
      </w:r>
    </w:p>
    <w:p w14:paraId="2D75779E" w14:textId="1340CB0A" w:rsidR="00267E17" w:rsidRPr="006A3D29" w:rsidRDefault="00CF19E3" w:rsidP="00F910D1">
      <w:r>
        <w:rPr>
          <w:noProof/>
        </w:rPr>
        <w:drawing>
          <wp:inline distT="0" distB="0" distL="0" distR="0" wp14:anchorId="32FE9350" wp14:editId="2DF482A6">
            <wp:extent cx="1791891" cy="1000125"/>
            <wp:effectExtent l="0" t="0" r="0" b="0"/>
            <wp:docPr id="1" name="Grafik 1" descr="W:\IPD\DT\COMMUNICATIONS\Logos\Logos Authorized Distributors\JPG\Gore-distributor-logo_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IPD\DT\COMMUNICATIONS\Logos\Logos Authorized Distributors\JPG\Gore-distributor-logo_IT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381" cy="100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7E17" w:rsidRPr="006A3D29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taNormalLF-Roman">
    <w:panose1 w:val="020B05020300000200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A6C57"/>
    <w:multiLevelType w:val="hybridMultilevel"/>
    <w:tmpl w:val="25629F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D6B8B"/>
    <w:multiLevelType w:val="hybridMultilevel"/>
    <w:tmpl w:val="07361C9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8039C"/>
    <w:multiLevelType w:val="hybridMultilevel"/>
    <w:tmpl w:val="369C578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65AE9"/>
    <w:multiLevelType w:val="hybridMultilevel"/>
    <w:tmpl w:val="AA922E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B399E"/>
    <w:multiLevelType w:val="hybridMultilevel"/>
    <w:tmpl w:val="0344823E"/>
    <w:lvl w:ilvl="0" w:tplc="A636E7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A6A8E"/>
    <w:multiLevelType w:val="hybridMultilevel"/>
    <w:tmpl w:val="B0E83D70"/>
    <w:lvl w:ilvl="0" w:tplc="E864CF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6142A5"/>
    <w:multiLevelType w:val="multilevel"/>
    <w:tmpl w:val="DA64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5E33BE"/>
    <w:multiLevelType w:val="hybridMultilevel"/>
    <w:tmpl w:val="9866FFA2"/>
    <w:lvl w:ilvl="0" w:tplc="B64C2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4C"/>
    <w:rsid w:val="00023EAA"/>
    <w:rsid w:val="00045E2E"/>
    <w:rsid w:val="000771F8"/>
    <w:rsid w:val="000A5196"/>
    <w:rsid w:val="000B5C4C"/>
    <w:rsid w:val="000C3306"/>
    <w:rsid w:val="00111205"/>
    <w:rsid w:val="0017518C"/>
    <w:rsid w:val="002145F3"/>
    <w:rsid w:val="00267E17"/>
    <w:rsid w:val="002E1EB1"/>
    <w:rsid w:val="002F37CD"/>
    <w:rsid w:val="0031564C"/>
    <w:rsid w:val="00395D05"/>
    <w:rsid w:val="00396143"/>
    <w:rsid w:val="003F19F6"/>
    <w:rsid w:val="00493758"/>
    <w:rsid w:val="004B3EF3"/>
    <w:rsid w:val="004E6EDD"/>
    <w:rsid w:val="00686F87"/>
    <w:rsid w:val="006A3D29"/>
    <w:rsid w:val="0072778F"/>
    <w:rsid w:val="007E3E67"/>
    <w:rsid w:val="007E587C"/>
    <w:rsid w:val="00826F5A"/>
    <w:rsid w:val="008B1D20"/>
    <w:rsid w:val="008C59B9"/>
    <w:rsid w:val="008D497A"/>
    <w:rsid w:val="00951770"/>
    <w:rsid w:val="00A54870"/>
    <w:rsid w:val="00AA05AE"/>
    <w:rsid w:val="00B07066"/>
    <w:rsid w:val="00B67D78"/>
    <w:rsid w:val="00B739A5"/>
    <w:rsid w:val="00CE4C88"/>
    <w:rsid w:val="00CF19E3"/>
    <w:rsid w:val="00D616DC"/>
    <w:rsid w:val="00DA58F8"/>
    <w:rsid w:val="00DE76C5"/>
    <w:rsid w:val="00DF627F"/>
    <w:rsid w:val="00E164E1"/>
    <w:rsid w:val="00EB31E0"/>
    <w:rsid w:val="00F42B02"/>
    <w:rsid w:val="00F56173"/>
    <w:rsid w:val="00F910D1"/>
    <w:rsid w:val="00FC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4288B"/>
  <w15:chartTrackingRefBased/>
  <w15:docId w15:val="{7E5CEFD1-CD27-4731-967A-FEF79B43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F910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1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910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bsatz-Standardschriftart"/>
    <w:rsid w:val="00F910D1"/>
  </w:style>
  <w:style w:type="paragraph" w:styleId="Listenabsatz">
    <w:name w:val="List Paragraph"/>
    <w:basedOn w:val="Standard"/>
    <w:uiPriority w:val="34"/>
    <w:qFormat/>
    <w:rsid w:val="008B1D2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145F3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B31E0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31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31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31E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31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31E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3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31E0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uiPriority w:val="1"/>
    <w:qFormat/>
    <w:rsid w:val="004B3EF3"/>
    <w:pPr>
      <w:widowControl w:val="0"/>
      <w:spacing w:after="0" w:line="240" w:lineRule="auto"/>
      <w:ind w:left="1205"/>
    </w:pPr>
    <w:rPr>
      <w:rFonts w:ascii="MetaNormalLF-Roman" w:eastAsia="MetaNormalLF-Roman" w:hAnsi="MetaNormalLF-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4B3EF3"/>
    <w:rPr>
      <w:rFonts w:ascii="MetaNormalLF-Roman" w:eastAsia="MetaNormalLF-Roman" w:hAnsi="MetaNormalLF-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re.com/resources/data-sheet-gore-joint-seala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re.it/prodotti/gore-joint-sealant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re.it/prodotti/gore-joint-sealant" TargetMode="External"/><Relationship Id="rId11" Type="http://schemas.openxmlformats.org/officeDocument/2006/relationships/hyperlink" Target="https://www.gore.de/resources/search?f%5B%5D=product%3A226&amp;f%5B%5D=language%3Aen&amp;f%5B%5D=content_type%3A336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gore.it/libreria-risorse/cerca?f%5B%5D=product%3A201&amp;f%5B%5D=language%3Aen&amp;f%5B%5D=content_type%3A3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re.com/resources/data-sheet-gore%7F-gasket-tape-series-500?from=%5B%22product%3A226%22%2C%22content_type%3A6%22%2C%22language%3Aen%22%5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W.L. Gore &amp; Associates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Schwab</dc:creator>
  <cp:keywords/>
  <dc:description/>
  <cp:lastModifiedBy>Veronika Schwab</cp:lastModifiedBy>
  <cp:revision>5</cp:revision>
  <cp:lastPrinted>2017-05-30T09:15:00Z</cp:lastPrinted>
  <dcterms:created xsi:type="dcterms:W3CDTF">2017-06-20T07:56:00Z</dcterms:created>
  <dcterms:modified xsi:type="dcterms:W3CDTF">2017-06-26T13:49:00Z</dcterms:modified>
</cp:coreProperties>
</file>